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28"/>
          <w:lang w:eastAsia="ru-RU"/>
        </w:rPr>
      </w:pPr>
      <w:bookmarkStart w:id="0" w:name="_GoBack"/>
      <w:bookmarkEnd w:id="0"/>
      <w:proofErr w:type="spellStart"/>
      <w:r w:rsidRPr="00F54967">
        <w:rPr>
          <w:rFonts w:ascii="Times New Roman" w:eastAsia="Times New Roman" w:hAnsi="Times New Roman" w:cs="Times New Roman"/>
          <w:b/>
          <w:bCs/>
          <w:color w:val="000080"/>
          <w:kern w:val="36"/>
          <w:sz w:val="48"/>
          <w:szCs w:val="28"/>
          <w:lang w:eastAsia="ru-RU"/>
        </w:rPr>
        <w:t>Рекомендації</w:t>
      </w:r>
      <w:proofErr w:type="spellEnd"/>
      <w:r w:rsidRPr="00F54967">
        <w:rPr>
          <w:rFonts w:ascii="Times New Roman" w:eastAsia="Times New Roman" w:hAnsi="Times New Roman" w:cs="Times New Roman"/>
          <w:b/>
          <w:bCs/>
          <w:color w:val="000080"/>
          <w:kern w:val="36"/>
          <w:sz w:val="48"/>
          <w:szCs w:val="28"/>
          <w:lang w:eastAsia="ru-RU"/>
        </w:rPr>
        <w:t xml:space="preserve"> батькам та </w:t>
      </w:r>
      <w:proofErr w:type="spellStart"/>
      <w:r w:rsidRPr="00F54967">
        <w:rPr>
          <w:rFonts w:ascii="Times New Roman" w:eastAsia="Times New Roman" w:hAnsi="Times New Roman" w:cs="Times New Roman"/>
          <w:b/>
          <w:bCs/>
          <w:color w:val="000080"/>
          <w:kern w:val="36"/>
          <w:sz w:val="48"/>
          <w:szCs w:val="28"/>
          <w:lang w:eastAsia="ru-RU"/>
        </w:rPr>
        <w:t>близьким</w:t>
      </w:r>
      <w:proofErr w:type="spellEnd"/>
      <w:r w:rsidRPr="00F54967">
        <w:rPr>
          <w:rFonts w:ascii="Times New Roman" w:eastAsia="Times New Roman" w:hAnsi="Times New Roman" w:cs="Times New Roman"/>
          <w:b/>
          <w:bCs/>
          <w:color w:val="000080"/>
          <w:kern w:val="36"/>
          <w:sz w:val="4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bCs/>
          <w:color w:val="000080"/>
          <w:kern w:val="36"/>
          <w:sz w:val="48"/>
          <w:szCs w:val="28"/>
          <w:lang w:eastAsia="ru-RU"/>
        </w:rPr>
        <w:t>дитини</w:t>
      </w:r>
      <w:proofErr w:type="spellEnd"/>
      <w:r w:rsidRPr="00F54967">
        <w:rPr>
          <w:rFonts w:ascii="Times New Roman" w:eastAsia="Times New Roman" w:hAnsi="Times New Roman" w:cs="Times New Roman"/>
          <w:b/>
          <w:bCs/>
          <w:color w:val="000080"/>
          <w:kern w:val="36"/>
          <w:sz w:val="48"/>
          <w:szCs w:val="28"/>
          <w:lang w:eastAsia="ru-RU"/>
        </w:rPr>
        <w:t>, </w:t>
      </w:r>
      <w:proofErr w:type="spellStart"/>
      <w:r w:rsidRPr="00F54967">
        <w:rPr>
          <w:rFonts w:ascii="Times New Roman" w:eastAsia="Times New Roman" w:hAnsi="Times New Roman" w:cs="Times New Roman"/>
          <w:b/>
          <w:bCs/>
          <w:color w:val="000080"/>
          <w:kern w:val="36"/>
          <w:sz w:val="4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b/>
          <w:bCs/>
          <w:color w:val="000080"/>
          <w:kern w:val="36"/>
          <w:sz w:val="4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bCs/>
          <w:color w:val="000080"/>
          <w:kern w:val="36"/>
          <w:sz w:val="48"/>
          <w:szCs w:val="28"/>
          <w:lang w:eastAsia="ru-RU"/>
        </w:rPr>
        <w:t>схильна</w:t>
      </w:r>
      <w:proofErr w:type="spellEnd"/>
      <w:r w:rsidRPr="00F54967">
        <w:rPr>
          <w:rFonts w:ascii="Times New Roman" w:eastAsia="Times New Roman" w:hAnsi="Times New Roman" w:cs="Times New Roman"/>
          <w:b/>
          <w:bCs/>
          <w:color w:val="000080"/>
          <w:kern w:val="36"/>
          <w:sz w:val="48"/>
          <w:szCs w:val="28"/>
          <w:lang w:eastAsia="ru-RU"/>
        </w:rPr>
        <w:t xml:space="preserve"> до </w:t>
      </w:r>
      <w:proofErr w:type="spellStart"/>
      <w:r w:rsidRPr="00F54967">
        <w:rPr>
          <w:rFonts w:ascii="Times New Roman" w:eastAsia="Times New Roman" w:hAnsi="Times New Roman" w:cs="Times New Roman"/>
          <w:b/>
          <w:bCs/>
          <w:color w:val="000080"/>
          <w:kern w:val="36"/>
          <w:sz w:val="48"/>
          <w:szCs w:val="28"/>
          <w:lang w:eastAsia="ru-RU"/>
        </w:rPr>
        <w:t>суїцидальної</w:t>
      </w:r>
      <w:proofErr w:type="spellEnd"/>
      <w:r w:rsidRPr="00F54967">
        <w:rPr>
          <w:rFonts w:ascii="Times New Roman" w:eastAsia="Times New Roman" w:hAnsi="Times New Roman" w:cs="Times New Roman"/>
          <w:b/>
          <w:bCs/>
          <w:color w:val="000080"/>
          <w:kern w:val="36"/>
          <w:sz w:val="48"/>
          <w:szCs w:val="28"/>
          <w:lang w:eastAsia="ru-RU"/>
        </w:rPr>
        <w:t> </w:t>
      </w:r>
      <w:proofErr w:type="spellStart"/>
      <w:r w:rsidRPr="00F54967">
        <w:rPr>
          <w:rFonts w:ascii="Times New Roman" w:eastAsia="Times New Roman" w:hAnsi="Times New Roman" w:cs="Times New Roman"/>
          <w:b/>
          <w:bCs/>
          <w:color w:val="000080"/>
          <w:kern w:val="36"/>
          <w:sz w:val="48"/>
          <w:szCs w:val="28"/>
          <w:lang w:eastAsia="ru-RU"/>
        </w:rPr>
        <w:t>поведінки</w:t>
      </w:r>
      <w:proofErr w:type="spellEnd"/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460490" cy="9144000"/>
            <wp:effectExtent l="19050" t="0" r="0" b="0"/>
            <wp:docPr id="6" name="Рисунок 6" descr="http://sofr2.at.ua/2019-20/41431377_1114887872000072_9156976678591791104_o-1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ofr2.at.ua/2019-20/41431377_1114887872000072_9156976678591791104_o-1-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49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ідліток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висловлює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померти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ставитися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уважно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сприймаючи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загрозу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всерйоз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Насамперед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обміркувати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ситуацію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обставини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проявляється</w:t>
      </w:r>
      <w:proofErr w:type="spellEnd"/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позбавити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ідліток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виказувати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померти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щось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всупереч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бажанням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батьки  не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купують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йому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просить,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відпускають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дискотеку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концерт). Те ж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батьки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карають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неповнолітній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намагається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викликати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провини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створюючи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реакцію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скористатися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цілях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Батькам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проаналізувати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ідліток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повторить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висловлювання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говорить про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померти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несподіваній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коли дивиться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телевізор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розповідає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школу та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друзів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Як часто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висловлюється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померти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за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обставин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Іноді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думки про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самогубство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спробу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маніпуляції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них треба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реагувати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як і на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висловлювання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типу: “Я тебе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ненавиджу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”, “Ви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”, “Я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втечу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дому”, “Я хочу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бабусі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”.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особливо характерно для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схильних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маніпуляції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ідлітку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виразити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обговорити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самовладання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маніпулювати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батьками.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висловлювання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померти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передбаченими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виступають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спроба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маніпуляції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батькам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спробувати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небезпеки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батьки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помічають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одразу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висловлювання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поведінці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то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ставитися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серйозно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дитиною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самогубство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пропонувати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серйозні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чому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 не повинна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почувати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почуває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у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підлітка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провини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безвихідності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свого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становища та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непотрібності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прагнути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підліток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пропонував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проблем.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сумніви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невирішені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звернутися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до практичного психолога, психотерапевта,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дитячого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іатра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ab/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Стратегічними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напрямками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батьківської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допомоги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дітям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із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суїцидальним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ризиком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спеціалісти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вважають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поліпшення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стосунків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у</w:t>
      </w:r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сім</w:t>
      </w:r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'</w:t>
      </w:r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ї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п</w:t>
      </w:r>
      <w:proofErr w:type="gram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ідвищення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самооцінки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самоповаги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val="en-US" w:eastAsia="ru-RU"/>
        </w:rPr>
        <w:t> </w:t>
      </w:r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дитини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, </w:t>
      </w:r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а</w:t>
      </w:r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також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покращення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спілкування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в</w:t>
      </w:r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родині</w:t>
      </w:r>
      <w:proofErr w:type="spellEnd"/>
      <w:r w:rsidRPr="00633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.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Усі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ці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заходи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мають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на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меті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підвищення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самоцінності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 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особистості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дитини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, коли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суїцидальні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наміри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втрачатимуть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сенс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.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           Для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F54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ідвищення</w:t>
      </w:r>
      <w:proofErr w:type="spellEnd"/>
      <w:r w:rsidRPr="00F54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самооцінки</w:t>
      </w:r>
      <w:proofErr w:type="spellEnd"/>
      <w:r w:rsidRPr="00F54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доцільно</w:t>
      </w:r>
      <w:proofErr w:type="spellEnd"/>
      <w:r w:rsidRPr="00F54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застосовувати</w:t>
      </w:r>
      <w:proofErr w:type="spellEnd"/>
      <w:r w:rsidRPr="00F54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такі</w:t>
      </w:r>
      <w:proofErr w:type="spellEnd"/>
      <w:r w:rsidRPr="00F54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заходи: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завжди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ідкреслюйте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добре й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успішне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вашій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підвищує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впевненість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зміцнює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майбутнє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покращує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чиніть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тиск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ідлітка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висувайте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надмірних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певних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життєвих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цілей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демонструйте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справжню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не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відчула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дійсно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люблять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сприймайте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любіть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такими,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є  - не за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успіхи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тому,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ідтримуйте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прагнення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захоплюйтесь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оцінюванням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судіть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знайте,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 до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самооцінки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самостійність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успішну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тактовно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розумно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ідтримувати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ініціативи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самооцінки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особистісне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фізичний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посилюють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успішність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самостійної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майте на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увазі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ідліток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стати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незалежним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сім'ї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однолітків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налагодити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стосунки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протилежною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статтю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підготувати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до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самостійного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позицію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           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Дуже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важливим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  у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проф</w:t>
      </w:r>
      <w:proofErr w:type="gram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ілактиці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суїцидальної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поведінки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є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активнне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 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слухання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батьками 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своєї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дитини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90"/>
      </w:tblGrid>
      <w:tr w:rsidR="00F54967" w:rsidRPr="00F54967" w:rsidTr="00F5496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F54967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Якщо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54967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ви</w:t>
            </w:r>
            <w:proofErr w:type="spellEnd"/>
            <w:proofErr w:type="gramEnd"/>
            <w:r w:rsidRPr="00F54967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чуєте</w:t>
            </w:r>
            <w:proofErr w:type="spellEnd"/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F54967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Обов’язково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скажіть</w:t>
            </w:r>
            <w:proofErr w:type="spellEnd"/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F54967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говоріть</w:t>
            </w:r>
            <w:proofErr w:type="spellEnd"/>
          </w:p>
        </w:tc>
      </w:tr>
      <w:tr w:rsidR="00F54967" w:rsidRPr="00F54967" w:rsidTr="00F5496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Ненавиджу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школу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відбувається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</w:t>
            </w:r>
            <w:proofErr w:type="gram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примушує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тебе так себе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почувати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 я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був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твоєму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віці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…,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просто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ледар</w:t>
            </w:r>
            <w:proofErr w:type="spellEnd"/>
          </w:p>
        </w:tc>
      </w:tr>
      <w:tr w:rsidR="00F54967" w:rsidRPr="00F54967" w:rsidTr="00F5496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здається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таким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безнадійним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Іноді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почуваємо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себе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подавленими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Давай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поміркуємо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нас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проблеми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яку з них треба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вирішити</w:t>
            </w:r>
            <w:proofErr w:type="spellEnd"/>
          </w:p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першу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чергу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Подумай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краще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   </w:t>
            </w:r>
            <w:proofErr w:type="gram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</w:t>
            </w:r>
            <w:proofErr w:type="gram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кому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гірше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 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ніж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тобі</w:t>
            </w:r>
            <w:proofErr w:type="spellEnd"/>
          </w:p>
        </w:tc>
      </w:tr>
      <w:tr w:rsidR="00F54967" w:rsidRPr="00F54967" w:rsidTr="00F5496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Усім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краще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</w:t>
            </w:r>
            <w:proofErr w:type="gram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мене!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дуже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багато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значиш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мене, і мене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бентежить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твій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настрій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Скажи 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мені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відбувається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кажи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дурниць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Давай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поговоримо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щось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інше</w:t>
            </w:r>
            <w:proofErr w:type="spellEnd"/>
          </w:p>
        </w:tc>
      </w:tr>
      <w:tr w:rsidR="00F54967" w:rsidRPr="00F54967" w:rsidTr="00F5496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 не</w:t>
            </w:r>
            <w:proofErr w:type="gram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розумієте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мене!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Розкажи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мені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як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себе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почуваєш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Я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дійсно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хочу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знати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Хто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зрозуміти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ідлітків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 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наші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 </w:t>
            </w:r>
          </w:p>
        </w:tc>
      </w:tr>
      <w:tr w:rsidR="00F54967" w:rsidRPr="00F54967" w:rsidTr="00F5496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я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здійснив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поганий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вчинок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Давай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сядемо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поговоримо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</w:t>
            </w:r>
            <w:proofErr w:type="gram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ієш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 й 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пожнеш</w:t>
            </w:r>
            <w:proofErr w:type="spellEnd"/>
          </w:p>
        </w:tc>
      </w:tr>
      <w:tr w:rsidR="00F54967" w:rsidRPr="00F54967" w:rsidTr="00F5496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якщо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мене не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виходить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Якщо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виходить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я буду знати,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зробив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усе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можливе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4967" w:rsidRPr="00F54967" w:rsidRDefault="00F54967" w:rsidP="00F54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Якщо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вийде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значить, 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недостатньо</w:t>
            </w:r>
            <w:proofErr w:type="spellEnd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proofErr w:type="spellStart"/>
            <w:r w:rsidRPr="00F5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постарався</w:t>
            </w:r>
            <w:proofErr w:type="spellEnd"/>
          </w:p>
        </w:tc>
      </w:tr>
    </w:tbl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28"/>
          <w:lang w:eastAsia="ru-RU"/>
        </w:rPr>
      </w:pP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28"/>
          <w:lang w:eastAsia="ru-RU"/>
        </w:rPr>
        <w:t>Рекомендації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28"/>
          <w:lang w:eastAsia="ru-RU"/>
        </w:rPr>
        <w:t xml:space="preserve"> батькам, коли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28"/>
          <w:lang w:eastAsia="ru-RU"/>
        </w:rPr>
        <w:t>п</w:t>
      </w:r>
      <w:proofErr w:type="gram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28"/>
          <w:lang w:eastAsia="ru-RU"/>
        </w:rPr>
        <w:t>ідлітки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28"/>
          <w:lang w:eastAsia="ru-RU"/>
        </w:rPr>
        <w:t>проявляють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28"/>
          <w:lang w:eastAsia="ru-RU"/>
        </w:rPr>
        <w:t>суїцидальні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28"/>
          <w:lang w:eastAsia="ru-RU"/>
        </w:rPr>
        <w:t>тенденції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28"/>
          <w:lang w:eastAsia="ru-RU"/>
        </w:rPr>
        <w:t>або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28"/>
          <w:lang w:eastAsia="ru-RU"/>
        </w:rPr>
        <w:t>відчай</w:t>
      </w:r>
      <w:proofErr w:type="spellEnd"/>
      <w:r w:rsidRPr="00F54967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28"/>
          <w:lang w:eastAsia="ru-RU"/>
        </w:rPr>
        <w:t>: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залишайтеся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самими собою,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сприймала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як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щиру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якій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довіряти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почуватися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вами на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івних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другом.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дозволить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довірливі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стосунки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розповісти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про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труднощі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те,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говорите, а як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говорите,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у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вашому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щире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занепокоєння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турбота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говоріть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дитиною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івних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експерт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розв’язувати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кризу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прямолінійно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відштовхнути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зосередьте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почуттях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тому,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замовчу</w:t>
      </w:r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дозвольте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їй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розповісти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думайте,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відразу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виникає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пауза в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розмові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використовуйте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мовчання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того,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вам, і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виявляйте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щире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співчуття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перетворюйте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розмови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нею </w:t>
      </w:r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допит,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ставте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щирі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запитання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(“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трапилося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?”, “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відбулося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?”),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загрозливими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спрямовуйте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розмову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бік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душевного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болю, а не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донька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вам, а не чужим людям,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інтимні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особистісні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намагайтеся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побачити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кризову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ситуацію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очима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займайте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сторону, а не сторону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їй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болю;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дайте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вважаєте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знаєте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вихід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кризової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ваша роль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полягає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тому,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дружню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ідтримку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вислухати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бути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своєю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дитиною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та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страждає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начебто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горя, в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безвиході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примусити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почуватися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безпорадним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пам’ятати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власний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вихід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обійміть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гарного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самопочуття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вісім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обіймів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день;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сприймайте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дорослу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особистість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індивідуальним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ітоглядом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цінностями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переконаннями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бажаннями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вимогами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покажіть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небайдужа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дайте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знаєте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кажіть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нічого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просто будьте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</w:t>
      </w:r>
      <w:proofErr w:type="gramStart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У</w:t>
      </w:r>
      <w:proofErr w:type="gramEnd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proofErr w:type="gramStart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тому</w:t>
      </w:r>
      <w:proofErr w:type="gramEnd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випадку</w:t>
      </w:r>
      <w:proofErr w:type="spellEnd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, коли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існує</w:t>
      </w:r>
      <w:proofErr w:type="spellEnd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реальний</w:t>
      </w:r>
      <w:proofErr w:type="spellEnd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суїцидальний</w:t>
      </w:r>
      <w:proofErr w:type="spellEnd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 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ризик</w:t>
      </w:r>
      <w:proofErr w:type="spellEnd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або</w:t>
      </w:r>
      <w:proofErr w:type="spellEnd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вже</w:t>
      </w:r>
      <w:proofErr w:type="spellEnd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відбулася</w:t>
      </w:r>
      <w:proofErr w:type="spellEnd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спроба</w:t>
      </w:r>
      <w:proofErr w:type="spellEnd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, то батькам 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можна</w:t>
      </w:r>
      <w:proofErr w:type="spellEnd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порадити</w:t>
      </w:r>
      <w:proofErr w:type="spellEnd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наступне</w:t>
      </w:r>
      <w:proofErr w:type="spellEnd"/>
      <w:r w:rsidRPr="00F549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першим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кроком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самогубства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завжди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буває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довірливого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батькам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подолати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власний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  </w:t>
      </w:r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бесідою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суїцидальної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стають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надто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чутливими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особливо до того, як і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дорослі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  тому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іноді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діє</w:t>
      </w:r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вішою</w:t>
      </w:r>
      <w:proofErr w:type="spellEnd"/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невербальна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комунікація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- жести,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дотики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967" w:rsidRPr="00F54967" w:rsidRDefault="00F54967" w:rsidP="00F549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батьки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відчувають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начебто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відхиляє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їхню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допомогу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їм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пам’ятати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водночас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прагне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не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тому для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позитивного результату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м’як</w:t>
      </w:r>
      <w:proofErr w:type="gram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наполегливість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терпіння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максимальний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співчуття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любові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F5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6D6E" w:rsidRPr="00F54967" w:rsidRDefault="00016D6E">
      <w:pPr>
        <w:rPr>
          <w:rFonts w:ascii="Times New Roman" w:hAnsi="Times New Roman" w:cs="Times New Roman"/>
          <w:sz w:val="28"/>
          <w:szCs w:val="28"/>
        </w:rPr>
      </w:pPr>
    </w:p>
    <w:sectPr w:rsidR="00016D6E" w:rsidRPr="00F54967" w:rsidSect="002122FB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67"/>
    <w:rsid w:val="00016D6E"/>
    <w:rsid w:val="002122FB"/>
    <w:rsid w:val="00633D62"/>
    <w:rsid w:val="00C15EF3"/>
    <w:rsid w:val="00F5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4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54967"/>
    <w:rPr>
      <w:b/>
      <w:bCs/>
    </w:rPr>
  </w:style>
  <w:style w:type="paragraph" w:styleId="a4">
    <w:name w:val="Normal (Web)"/>
    <w:basedOn w:val="a"/>
    <w:uiPriority w:val="99"/>
    <w:unhideWhenUsed/>
    <w:rsid w:val="00F54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4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4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54967"/>
    <w:rPr>
      <w:b/>
      <w:bCs/>
    </w:rPr>
  </w:style>
  <w:style w:type="paragraph" w:styleId="a4">
    <w:name w:val="Normal (Web)"/>
    <w:basedOn w:val="a"/>
    <w:uiPriority w:val="99"/>
    <w:unhideWhenUsed/>
    <w:rsid w:val="00F54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4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4894</Words>
  <Characters>2790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2021-10-27T17:22:00Z</dcterms:created>
  <dcterms:modified xsi:type="dcterms:W3CDTF">2021-10-27T17:22:00Z</dcterms:modified>
</cp:coreProperties>
</file>